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F3C06" w14:textId="425E6D16" w:rsidR="00793F1D" w:rsidRDefault="00315F5F">
      <w:pPr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Прилог 7.1.б.</w:t>
      </w:r>
      <w:r w:rsidRPr="00185533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B1946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Правила о ближим условима за избор наставника и сарадника Ф</w:t>
      </w:r>
      <w:r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илозофског факултета у Београду – ступила на снагу 24.09.20019.</w:t>
      </w:r>
      <w:r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ab/>
      </w:r>
    </w:p>
    <w:p w14:paraId="3B8BC606" w14:textId="7C38B6A2" w:rsidR="00315F5F" w:rsidRDefault="00315F5F">
      <w:pPr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</w:p>
    <w:p w14:paraId="33D55895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УНИВЕРЗИТЕТ У БЕОГРАДУ</w:t>
      </w:r>
    </w:p>
    <w:p w14:paraId="1AB42CB7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ФИЛОЗОФСКИ ФАКУЛТЕТ</w:t>
      </w:r>
    </w:p>
    <w:p w14:paraId="0D242121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КАДРОВСКА КОМИСИЈА</w:t>
      </w:r>
    </w:p>
    <w:p w14:paraId="3E17AEC1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R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Број: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1606/1</w:t>
      </w:r>
    </w:p>
    <w:p w14:paraId="2D97EBB2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24.09.2019. </w:t>
      </w:r>
      <w:r w:rsidRPr="00315F5F">
        <w:rPr>
          <w:rFonts w:ascii="Times New Roman" w:eastAsia="PMingLiU" w:hAnsi="Times New Roman" w:cs="Times New Roman"/>
          <w:sz w:val="24"/>
          <w:szCs w:val="24"/>
          <w:lang w:val="sr-Latn-CS" w:eastAsia="zh-TW"/>
        </w:rPr>
        <w:t xml:space="preserve"> године</w:t>
      </w:r>
    </w:p>
    <w:p w14:paraId="3839CD61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1C88C12E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4567CB5E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39F19DD4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На основу члана</w:t>
      </w: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  <w:t xml:space="preserve"> </w:t>
      </w:r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269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. Статута Филозофског факултета у Београду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(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0</w:t>
      </w:r>
      <w:r w:rsidRPr="00315F5F">
        <w:rPr>
          <w:rFonts w:ascii="Times New Roman" w:eastAsia="PMingLiU" w:hAnsi="Times New Roman" w:cs="Times New Roman"/>
          <w:sz w:val="24"/>
          <w:szCs w:val="24"/>
          <w:lang w:val="sr-Latn-CS" w:eastAsia="zh-TW"/>
        </w:rPr>
        <w:t>5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/2-2 бр. </w:t>
      </w:r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1/26-</w:t>
      </w:r>
      <w:proofErr w:type="gramStart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2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од</w:t>
      </w:r>
      <w:proofErr w:type="gramEnd"/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23.11.1018.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године), а у склад</w:t>
      </w:r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у </w:t>
      </w:r>
      <w:proofErr w:type="spellStart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Правилником</w:t>
      </w:r>
      <w:proofErr w:type="spellEnd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о </w:t>
      </w:r>
      <w:proofErr w:type="spellStart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минималним</w:t>
      </w:r>
      <w:proofErr w:type="spellEnd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условима</w:t>
      </w:r>
      <w:proofErr w:type="spellEnd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за</w:t>
      </w:r>
      <w:proofErr w:type="spellEnd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стицање</w:t>
      </w:r>
      <w:proofErr w:type="spellEnd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звања</w:t>
      </w:r>
      <w:proofErr w:type="spellEnd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наставника</w:t>
      </w:r>
      <w:proofErr w:type="spellEnd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на</w:t>
      </w:r>
      <w:proofErr w:type="spellEnd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Универзитету</w:t>
      </w:r>
      <w:proofErr w:type="spellEnd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у </w:t>
      </w:r>
      <w:proofErr w:type="spellStart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Београду</w:t>
      </w:r>
      <w:proofErr w:type="spellEnd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(“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Гласник Универзитета у Београду“, број: 192/16 од 1.7.2016. године) и Правилника о начину и поступку стицања звања и заснивања радног односа наставника Универзитета у Београду („Сл. гласник Универзитета у Београду“ број 200/17)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Кадровска комисија, на седници одржаној 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24.09.2019. 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године, донела је</w:t>
      </w:r>
    </w:p>
    <w:p w14:paraId="0540AF34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</w:pPr>
    </w:p>
    <w:p w14:paraId="1D8E018F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  <w:t xml:space="preserve">                                           </w:t>
      </w:r>
    </w:p>
    <w:p w14:paraId="6BDE901B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  <w:t>ПРАВИЛА О БЛИЖИМ УСЛОВИМА ЗА ИЗБОР НАСТАВНИКА</w:t>
      </w:r>
    </w:p>
    <w:p w14:paraId="544B4EBF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  <w:t>И САРАДНИКА ФИЛОЗОФСКОГ ФАКУЛТЕТА У БЕОГРАДУ</w:t>
      </w:r>
    </w:p>
    <w:p w14:paraId="6818E7CD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1E818B53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Члан 1.</w:t>
      </w:r>
    </w:p>
    <w:p w14:paraId="6ACABF8C" w14:textId="77777777" w:rsidR="00315F5F" w:rsidRPr="00315F5F" w:rsidRDefault="00315F5F" w:rsidP="00315F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F5F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Овим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правилима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ближе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одређују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критеријуми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мерила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избор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наставника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сарадника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Филозофског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факултета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Београду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(у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даљем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Факултет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), у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Законом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високом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образовању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Препорукама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Националног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савета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високо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образовање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ближим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условима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избор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звања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наставника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15F5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Правилника о минималним условима за стицање звања наставника на Универзитету у Београду (у даљем тексту: Правилник), Правилника о начину и поступку стицања звања и заснивања радног односа наставника Универзитета у Београду , Одлука о извођењу приступног предавања на Универзитету у Београду (Гласник Универзитета у Београду, бр. 195. од 22.9.2016.)   , Одлуке о измени и допуни одлуке о извођењу приступног предавања на Универзитету у Београду (Гласник Универзитета у Београду, бр. 199. од 16.10.2017.)</w:t>
      </w:r>
      <w:r w:rsidRPr="00315F5F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RS"/>
        </w:rPr>
        <w:t xml:space="preserve"> </w:t>
      </w:r>
      <w:r w:rsidRPr="00315F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Статутом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5F5F">
        <w:rPr>
          <w:rFonts w:ascii="Times New Roman" w:eastAsia="Times New Roman" w:hAnsi="Times New Roman" w:cs="Times New Roman"/>
          <w:sz w:val="24"/>
          <w:szCs w:val="24"/>
        </w:rPr>
        <w:t>Факултета</w:t>
      </w:r>
      <w:proofErr w:type="spellEnd"/>
      <w:r w:rsidRPr="00315F5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F235A3D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0A49C415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Члан 2.   </w:t>
      </w:r>
    </w:p>
    <w:p w14:paraId="4AF41F16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 xml:space="preserve">Избор у звање сарадника у настави врши се у складу са одредбама члана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83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. Закона о високом образовању и чл.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119.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и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120.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Статута Факултета.</w:t>
      </w:r>
    </w:p>
    <w:p w14:paraId="12597772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 xml:space="preserve">Избор у звање асистента врши се у складу са одредбама члана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84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. Закона о високом образовању и чл.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121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. и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122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. Статута Факултета.</w:t>
      </w:r>
    </w:p>
    <w:p w14:paraId="0D480BD6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b/>
          <w:color w:val="FF0000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 xml:space="preserve">Избор наставника страног језика врши се непосредно на основу члана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79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. Закона о високом образовању, члана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123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. Статута Факултета и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Правилника о минималним условима за стицање звања наставника на Универзитету у Београду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.</w:t>
      </w:r>
    </w:p>
    <w:p w14:paraId="1FFAC5CB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lastRenderedPageBreak/>
        <w:tab/>
        <w:t xml:space="preserve">Наставници Факултета у звању доцента, ванредног професора и редовног професора бирају се у складу са одредбама члана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7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4. Закона о високом образовању, а према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Правилнику о минималним условима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за стицање звања наставника на Универзитету у Београду.                     </w:t>
      </w:r>
    </w:p>
    <w:p w14:paraId="7282C74C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Члан 3.</w:t>
      </w:r>
    </w:p>
    <w:p w14:paraId="1E24A48D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R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Под научном монографијом, која је посебан услов за избор у звање ванредног</w:t>
      </w:r>
      <w:r w:rsidRPr="00315F5F">
        <w:rPr>
          <w:rFonts w:ascii="Times New Roman" w:eastAsia="PMingLiU" w:hAnsi="Times New Roman" w:cs="Times New Roman"/>
          <w:sz w:val="24"/>
          <w:szCs w:val="24"/>
          <w:lang w:val="sr-Latn-CS" w:eastAsia="zh-TW"/>
        </w:rPr>
        <w:t xml:space="preserve">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и редовног професора, подразумева се књига која представља самостално научно дело које обрађује одређену тему; рецензирано од најмање два научника из одговарајуће области; које испуњава утврђене библиографске услове (</w:t>
      </w:r>
      <w:r w:rsidRPr="00315F5F">
        <w:rPr>
          <w:rFonts w:ascii="Times New Roman" w:eastAsia="PMingLiU" w:hAnsi="Times New Roman" w:cs="Times New Roman"/>
          <w:sz w:val="24"/>
          <w:szCs w:val="24"/>
          <w:lang w:val="sr-Latn-CS" w:eastAsia="zh-TW"/>
        </w:rPr>
        <w:t xml:space="preserve">ISBN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и др.) и има најмање 216.000 словних знакова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.</w:t>
      </w:r>
    </w:p>
    <w:p w14:paraId="7EC96519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           У обим монографије треба да се урачунају дијаграми, графикони, табеле, цртежи и формуле као једна трећина страница односно 600 словних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места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.</w:t>
      </w:r>
      <w:r w:rsidRPr="00315F5F">
        <w:rPr>
          <w:rFonts w:ascii="Calibri" w:eastAsia="PMingLiU" w:hAnsi="Calibri" w:cs="Times New Roman"/>
          <w:sz w:val="24"/>
          <w:szCs w:val="24"/>
          <w:lang w:val="sr-Cyrl-CS" w:eastAsia="zh-TW"/>
        </w:rPr>
        <w:t xml:space="preserve">        </w:t>
      </w:r>
    </w:p>
    <w:p w14:paraId="0F3872E9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У изузетним случајевима, уколико монографија има мање словних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места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или  страница утврђених ставом 1. овог члана, Комисија одељења, дужна је да достави образложење.</w:t>
      </w:r>
    </w:p>
    <w:p w14:paraId="039D0DD2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 xml:space="preserve">Коауторска монографија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или уџбеник могу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се вредновати као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при избору у звање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ванредног професора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ако је јасно означен део који је написао кандидат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или уколико постоји писана изјава коаутура 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и уколико обим тога дела одговара обиму из става 1. овога члана.</w:t>
      </w:r>
    </w:p>
    <w:p w14:paraId="3B27D51B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ru-RU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За избор у звање редовног професора неопходна је самостална монографија.</w:t>
      </w:r>
    </w:p>
    <w:p w14:paraId="02273FE8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R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      </w:t>
      </w:r>
    </w:p>
    <w:p w14:paraId="36CB6B9E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Под уџбеником, у смислу ових правила, подразумева се универзитетски уџбеник</w:t>
      </w:r>
      <w:r w:rsidRPr="00315F5F">
        <w:rPr>
          <w:rFonts w:ascii="Times New Roman" w:eastAsia="PMingLiU" w:hAnsi="Times New Roman" w:cs="Times New Roman"/>
          <w:i/>
          <w:sz w:val="24"/>
          <w:szCs w:val="24"/>
          <w:lang w:val="sr-Cyrl-CS" w:eastAsia="zh-TW"/>
        </w:rPr>
        <w:t>,</w:t>
      </w:r>
      <w:r w:rsidRPr="00315F5F">
        <w:rPr>
          <w:rFonts w:ascii="Times New Roman" w:eastAsia="PMingLiU" w:hAnsi="Times New Roman" w:cs="Times New Roman"/>
          <w:i/>
          <w:sz w:val="24"/>
          <w:szCs w:val="24"/>
          <w:lang w:val="sr-Cyrl-RS" w:eastAsia="zh-TW"/>
        </w:rPr>
        <w:t xml:space="preserve"> 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рецензиран од</w:t>
      </w:r>
      <w:r w:rsidRPr="00315F5F">
        <w:rPr>
          <w:rFonts w:ascii="Times New Roman" w:eastAsia="PMingLiU" w:hAnsi="Times New Roman" w:cs="Times New Roman"/>
          <w:i/>
          <w:sz w:val="24"/>
          <w:szCs w:val="24"/>
          <w:lang w:val="sr-Cyrl-RS" w:eastAsia="zh-TW"/>
        </w:rPr>
        <w:t xml:space="preserve"> 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два редовна или ванредна професора или два научна саветника или виша  научна сарадника из одговарајуће научне области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и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одобрен за употребу од Већа одељења.</w:t>
      </w:r>
    </w:p>
    <w:p w14:paraId="34EC590E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Члан 4.</w:t>
      </w:r>
    </w:p>
    <w:p w14:paraId="6A213198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R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Статус монографије, у смислу члана 3. ових правила, нема: (а) објављена докторска дисертација или магистарска теза; (б) ново издање књиге која је узета у обзир приликом ранијих избора у звање; (в) публикација сачињена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од радова који су узети у обзир приликом ранијих избора, уколико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не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садржи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више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од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216.000 словних места.</w:t>
      </w:r>
    </w:p>
    <w:p w14:paraId="16788750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Радови објављени у зборнику радова са научног скупа не могу се сматрати поглављем у монографији.</w:t>
      </w:r>
    </w:p>
    <w:p w14:paraId="28EBBB8A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Члан 5.</w:t>
      </w:r>
    </w:p>
    <w:p w14:paraId="76866ECD" w14:textId="77777777" w:rsidR="00315F5F" w:rsidRPr="00315F5F" w:rsidRDefault="00315F5F" w:rsidP="00315F5F">
      <w:pPr>
        <w:tabs>
          <w:tab w:val="left" w:pos="540"/>
        </w:tabs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R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Превод текстова са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предмодерних 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језика може се вредновати као монографија уколико је праћен студијом и стручним коментаром који својим обимом испуњавају  најмање половину услова утврђеног чланом 3.  ових правила.</w:t>
      </w:r>
    </w:p>
    <w:p w14:paraId="1E55AE3A" w14:textId="77777777" w:rsidR="00315F5F" w:rsidRPr="00315F5F" w:rsidRDefault="00315F5F" w:rsidP="00315F5F">
      <w:pPr>
        <w:tabs>
          <w:tab w:val="left" w:pos="540"/>
        </w:tabs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R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       Под п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ревод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има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изворног текста у облику студије, поглавља или чланка, предвиђен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им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за избор у звање доцента и ванредног професора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подразумевају се преводи са старих језика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.</w:t>
      </w:r>
    </w:p>
    <w:p w14:paraId="5809B55F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Рецензиран к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аталог студијске и ретроспективне изложбе (монографске, групне, тематско-проблемске) међународног или националног значаја, научноистраживачког, иновативног методолошког или интерпретативног карактера (са рецензијом, резимеом на страном језику и уводном студијом) може се, сходно обиму и карактеру садржаја, вредновати као монографија у складу са чланом 3. ових правила.</w:t>
      </w:r>
    </w:p>
    <w:p w14:paraId="077FD03D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Критичко издање историјске грађе може се сходно обиму и карактеру садржаја рачунати као монографија. Уколико је то научна публикација у виду и обиму засебне књиге, пратећа студија и стручни коментари треба да буду обима утврђеног чланом 3. ових правила.</w:t>
      </w:r>
    </w:p>
    <w:p w14:paraId="4D6455A7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lastRenderedPageBreak/>
        <w:t xml:space="preserve">Изузетно, уколико је грађа преведена са неког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предмодерног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језика, примениће се став 1. овог члана.</w:t>
      </w:r>
    </w:p>
    <w:p w14:paraId="1D36C8ED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Члан 6.</w:t>
      </w:r>
    </w:p>
    <w:p w14:paraId="59C6FD18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trike/>
          <w:sz w:val="24"/>
          <w:szCs w:val="24"/>
          <w:lang w:val="sr-Cyrl-CS" w:eastAsia="zh-TW"/>
        </w:rPr>
      </w:pPr>
    </w:p>
    <w:p w14:paraId="41E8691F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Рад може имати статус „поглавља у књизи“ или рада  у тематском зборнику</w:t>
      </w:r>
      <w:r w:rsidRPr="00315F5F">
        <w:rPr>
          <w:rFonts w:ascii="Times New Roman" w:eastAsia="PMingLiU" w:hAnsi="Times New Roman" w:cs="Times New Roman"/>
          <w:sz w:val="24"/>
          <w:szCs w:val="24"/>
          <w:lang w:val="sr-Latn-CS" w:eastAsia="zh-TW"/>
        </w:rPr>
        <w:t xml:space="preserve"> уколико</w:t>
      </w:r>
      <w:r w:rsidRPr="00315F5F">
        <w:rPr>
          <w:rFonts w:ascii="Times New Roman" w:eastAsia="PMingLiU" w:hAnsi="Times New Roman" w:cs="Times New Roman"/>
          <w:sz w:val="24"/>
          <w:szCs w:val="24"/>
          <w:lang w:val="sr-Latn-RS" w:eastAsia="zh-TW"/>
        </w:rPr>
        <w:t xml:space="preserve">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има најмање 28.800 словних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места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, (16  страница текста по 1800 словних места по страници). Изузетно, уколико се ради о раду мањег обима, али не краћем од 14.400 словних места (8 страница текста по 1800 словних места по страници) Комисија одељења  образложени предлог доставља Кадровској комисији на усвајање.</w:t>
      </w:r>
    </w:p>
    <w:p w14:paraId="0C159737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trike/>
          <w:sz w:val="24"/>
          <w:szCs w:val="24"/>
          <w:lang w:val="sr-Cyrl-CS" w:eastAsia="zh-TW"/>
        </w:rPr>
      </w:pPr>
    </w:p>
    <w:p w14:paraId="3356E15D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Члан 7.</w:t>
      </w:r>
    </w:p>
    <w:p w14:paraId="27107218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3CF5DD3C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trike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Зборник радова са научног скупа (из члана 10. ових правила) је публикација коју издаје организатор скупа самостално или у сарадњи са неким издавачем или научним часописом, у којој се објављују прилози у целини саопштени на скупу.</w:t>
      </w:r>
      <w:r w:rsidRPr="00315F5F">
        <w:rPr>
          <w:rFonts w:ascii="Times New Roman" w:eastAsia="PMingLiU" w:hAnsi="Times New Roman" w:cs="Times New Roman"/>
          <w:strike/>
          <w:sz w:val="24"/>
          <w:szCs w:val="24"/>
          <w:lang w:val="sr-Cyrl-CS" w:eastAsia="zh-TW"/>
        </w:rPr>
        <w:t xml:space="preserve">   </w:t>
      </w:r>
    </w:p>
    <w:p w14:paraId="3F350A75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  <w:t xml:space="preserve">           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Прилог са научног скупа може бити објављен у другим научним часописима са лист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Универзитета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и надлежног Министарства, 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са ознаком да је био саопштен на научном скупу.</w:t>
      </w:r>
    </w:p>
    <w:p w14:paraId="70DF052A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36D61438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Члан  8.</w:t>
      </w:r>
    </w:p>
    <w:p w14:paraId="4DD27AD7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Електронско издање монографија, зборника  је оно издање које има e-ISBN  број и које задовољава све услове штампане монографије, зборника.</w:t>
      </w:r>
    </w:p>
    <w:p w14:paraId="1EBF636C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2F55ED7E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Члан  9.</w:t>
      </w:r>
    </w:p>
    <w:p w14:paraId="0E84CAA6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Категоризацију радова и научних скупова  врши комисија од најмање два наставника, коју одређује одељење.</w:t>
      </w:r>
    </w:p>
    <w:p w14:paraId="175F0DE9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 xml:space="preserve">Комисија је одговорна за тачност категоризације радова и научних скупова. </w:t>
      </w:r>
    </w:p>
    <w:p w14:paraId="34A561B0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47A15FB3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Члан 10.</w:t>
      </w:r>
    </w:p>
    <w:p w14:paraId="14E129CD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Категоризација научних скупова и одређивање њиховог статуса (међународни или национални) врши се на основу следећих критеријума:</w:t>
      </w:r>
    </w:p>
    <w:p w14:paraId="1D0D53CC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(а) статус међународног научног скупа има скуп који организује међународни научни одбор, научно удружење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, акредитоване научне организације и установе културе од националног значаја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или научна институција (при чему научни одбор у свом саставу мора имати чланове из најмање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три земље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); који има међународну селекцију и рецензију пријављених радова; и који има најмање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пет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учесника из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најмање пет земаља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са радовима;</w:t>
      </w:r>
    </w:p>
    <w:p w14:paraId="23548709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(б) статус националног научног скупа има скуп који организује национални научни одбор, научно удружење или научна институција, а организациони и програмски одбор скупа у свом саставу има еминентне научнике/истраживаче и истакнуте стручњаке, при чему број учесника научног скупа, односно на њему поднетих саопштења, не може бити мањи од десет.</w:t>
      </w:r>
    </w:p>
    <w:p w14:paraId="7CCD3A82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684A900D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0F852242" w14:textId="689BBCE2" w:rsid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39AA0D88" w14:textId="77777777" w:rsidR="00E178EA" w:rsidRPr="00315F5F" w:rsidRDefault="00E178EA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01800829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27C5B9A1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676F19D2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lastRenderedPageBreak/>
        <w:t>Члан 11.</w:t>
      </w:r>
    </w:p>
    <w:p w14:paraId="2C3E8BCF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Latn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Од укупног броја радова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потребних за избор у одговарајуће звање најмање једну половину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од минимално предвиђених радова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чине самостални радови или радови у којима је истраживач/наставник  први аутор.</w:t>
      </w:r>
    </w:p>
    <w:p w14:paraId="76863F64" w14:textId="77777777" w:rsidR="00315F5F" w:rsidRPr="00315F5F" w:rsidRDefault="00315F5F" w:rsidP="00315F5F">
      <w:pPr>
        <w:tabs>
          <w:tab w:val="left" w:pos="1800"/>
        </w:tabs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           Пун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о ауторство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за рад у часописима и зборницима са научних скупова прихвата се ако нема више од три коаутора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из исте научне области</w:t>
      </w:r>
      <w:r w:rsidRPr="00315F5F">
        <w:rPr>
          <w:rFonts w:ascii="Times New Roman" w:eastAsia="PMingLiU" w:hAnsi="Times New Roman" w:cs="Times New Roman"/>
          <w:i/>
          <w:sz w:val="24"/>
          <w:szCs w:val="24"/>
          <w:lang w:val="sr-Cyrl-CS" w:eastAsia="zh-TW"/>
        </w:rPr>
        <w:t>.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</w:t>
      </w:r>
    </w:p>
    <w:p w14:paraId="173ACC34" w14:textId="77777777" w:rsidR="00315F5F" w:rsidRPr="00315F5F" w:rsidRDefault="00315F5F" w:rsidP="00315F5F">
      <w:pPr>
        <w:tabs>
          <w:tab w:val="left" w:pos="1800"/>
        </w:tabs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R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ru-RU" w:eastAsia="zh-TW"/>
        </w:rPr>
        <w:t xml:space="preserve">           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Пуно ауторство се прихвата, без обзира на коауторство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и редослед аутора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, за радове у </w:t>
      </w:r>
      <w:r w:rsidRPr="00315F5F">
        <w:rPr>
          <w:rFonts w:ascii="Times New Roman" w:eastAsia="PMingLiU" w:hAnsi="Times New Roman" w:cs="Times New Roman"/>
          <w:sz w:val="24"/>
          <w:szCs w:val="24"/>
          <w:lang w:val="ru-RU" w:eastAsia="zh-TW"/>
        </w:rPr>
        <w:t>ч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асописима у горњих 50%  </w:t>
      </w:r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SCI 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и  </w:t>
      </w:r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SSCI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листе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.</w:t>
      </w:r>
    </w:p>
    <w:p w14:paraId="45B89785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trike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Пуно ауторство за рад у тематском зборнику прихвата се ако нема више од три аутора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из исте научне области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. </w:t>
      </w:r>
    </w:p>
    <w:p w14:paraId="55999EBC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За ауторску  монографију која замењује радове објављене у часопису код избора за ванредног професора важи став 2. члана 3.</w:t>
      </w:r>
    </w:p>
    <w:p w14:paraId="016B6ED6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          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Под поглављем у монографији подразумева се део монографије који има најмање један табак текста ( 16  страна текста по 1800 словних места по страници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)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.</w:t>
      </w:r>
    </w:p>
    <w:p w14:paraId="1187C7BC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    </w:t>
      </w:r>
    </w:p>
    <w:p w14:paraId="21062F6C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05560317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Члан 1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2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.</w:t>
      </w:r>
    </w:p>
    <w:p w14:paraId="4FC131B4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 xml:space="preserve">Услове за избор у више звање  кандидат треба да оствари након избора у претходно звање („претходно“, у односу на звање за које се предлаже). </w:t>
      </w:r>
    </w:p>
    <w:p w14:paraId="419CAC42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Уколико је кандидат више пута биран у исто звање (у више изборних периода), узимају се у обзир резултати остварени од првог избора у то звање, с тим да за доцента треба да има најмање два објављена рада,  за ванредног професора најмање четири рада,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а за редовног професора најмање шест објављених радова у  последњих пет година.</w:t>
      </w: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RS" w:eastAsia="zh-TW"/>
        </w:rPr>
        <w:t xml:space="preserve"> </w:t>
      </w: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  <w:t xml:space="preserve">   </w:t>
      </w:r>
    </w:p>
    <w:p w14:paraId="32892450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Уколико се кандидат поново бира у исто звање  узимају се у обзир резултати остварени од првог избора у то звање, с тим да за доцента треба да има најмање два објављена рада а за ванредног професора најмање четири рада.</w:t>
      </w:r>
    </w:p>
    <w:p w14:paraId="5242DDB7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</w:pPr>
    </w:p>
    <w:p w14:paraId="6A408859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  <w:t xml:space="preserve">  </w:t>
      </w:r>
    </w:p>
    <w:p w14:paraId="48BBBA7D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Члан 1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3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.</w:t>
      </w:r>
    </w:p>
    <w:p w14:paraId="64EE266C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 xml:space="preserve">Поступак за избор у звање доцента може се покренути ако је кандидат одбранио докторску дисертацију и ако су испуњени услови за избор у ово звање утврђени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Правилником</w:t>
      </w: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  <w:t>.</w:t>
      </w:r>
    </w:p>
    <w:p w14:paraId="1F44F559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Поступак за избор (унапређење) у звање ванредног професора може се покренути ако су испуњени услови за избор у ово звање утврђени</w:t>
      </w: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  <w:t xml:space="preserve"> </w:t>
      </w: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RS" w:eastAsia="zh-TW"/>
        </w:rPr>
        <w:t xml:space="preserve">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Правилником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.</w:t>
      </w:r>
    </w:p>
    <w:p w14:paraId="33851154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 xml:space="preserve">Поступак за избор (унапређење) у звање редовног професора може се покренути ако су испуњени услови за избор у ово звање утврђени </w:t>
      </w: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RS" w:eastAsia="zh-TW"/>
        </w:rPr>
        <w:t xml:space="preserve">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Правилником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.</w:t>
      </w:r>
    </w:p>
    <w:p w14:paraId="12F68D9F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val="sr-Cyrl-CS" w:eastAsia="sr-Latn-CS"/>
        </w:rPr>
      </w:pPr>
      <w:r w:rsidRPr="00315F5F">
        <w:rPr>
          <w:rFonts w:ascii="Times New Roman" w:eastAsia="Times New Roman" w:hAnsi="Times New Roman" w:cs="Times New Roman"/>
          <w:noProof/>
          <w:sz w:val="26"/>
          <w:szCs w:val="26"/>
          <w:lang w:val="sr-Cyrl-CS" w:eastAsia="sr-Latn-CS"/>
        </w:rPr>
        <w:tab/>
        <w:t>Конкурс за избор наставника на који се може пријавити и лице које се налази у радном односу на одређено време у звању наставника или асистента на Факултету, расписује се најкасније 6 (шест) месеци пре истека времена за које је наставник, односно асистент биран.</w:t>
      </w:r>
    </w:p>
    <w:p w14:paraId="17A3D8E4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Times New Roman" w:hAnsi="Times New Roman" w:cs="Times New Roman"/>
          <w:noProof/>
          <w:sz w:val="26"/>
          <w:szCs w:val="26"/>
          <w:lang w:val="sr-Cyrl-CS" w:eastAsia="sr-Latn-CS"/>
        </w:rPr>
        <w:t xml:space="preserve">        Изузетно, конкурс за избор у непосредно више звање се може расписати пре рока утврђеног у ставу 4. овог члана у случају када овлашћени предлагач констатује да су се за избор стекли услови утврђени Законом о високом образовању, Статутом Универзитета у Београду,  Статутом Факултета и Правилником, односно Правилима о ближим условима за избор наставники и сарадника на Факултету.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</w:r>
    </w:p>
    <w:p w14:paraId="03C46B4A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21549BCC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lastRenderedPageBreak/>
        <w:t>Члан 1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4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.</w:t>
      </w:r>
    </w:p>
    <w:p w14:paraId="45E9B780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Ако за избор у звање наставника конкурише лице које први пут заснива радни однос на Факултету, односно у предходном периоду није обављао послове</w:t>
      </w: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  <w:t xml:space="preserve">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наставника, услови утврђени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Правилником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узимају се кумулативно, тј. збрајају се услови утврђени за звање за које конкурише и услови за сва претходна (нижа) звања</w:t>
      </w:r>
      <w:r w:rsidRPr="00315F5F"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  <w:t>.</w:t>
      </w:r>
    </w:p>
    <w:p w14:paraId="323193E6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val="sr-Cyrl-R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 xml:space="preserve">Способност за наставни рад лица које није имало искуства у универзитетској настави, утврђује се на начин прописан чланом </w:t>
      </w:r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118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. став 6.  Статута Факулт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ета и  Одлуком  о извођењу приступног предавања на Универзитету у Београду (Гласник Универзитета у Београду, бр. 195. од 22.9.2016.) и  Одлуком о измени и допуни одлуке о извођењу приступног предавања на Универзитету у Београду (Гласник Универзитета у Београду, бр. 199. од 16.10.2017.).</w:t>
      </w:r>
    </w:p>
    <w:p w14:paraId="3303B5B3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305E5105" w14:textId="77777777" w:rsidR="00315F5F" w:rsidRPr="00315F5F" w:rsidRDefault="00315F5F" w:rsidP="00315F5F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                                                               Члан 1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5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.</w:t>
      </w:r>
    </w:p>
    <w:p w14:paraId="2D57011D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Педагошки рад наставника и сарадника оцењује комисија из члана 9. ових правила , на основу следећих елемената:</w:t>
      </w:r>
    </w:p>
    <w:p w14:paraId="7DD27645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1)</w:t>
      </w:r>
      <w:r w:rsidRPr="00315F5F">
        <w:rPr>
          <w:rFonts w:ascii="Times New Roman" w:eastAsia="PMingLiU" w:hAnsi="Times New Roman" w:cs="Times New Roman"/>
          <w:i/>
          <w:sz w:val="24"/>
          <w:szCs w:val="24"/>
          <w:lang w:val="sr-Cyrl-CS" w:eastAsia="zh-TW"/>
        </w:rPr>
        <w:t xml:space="preserve"> унапређивање програма наставе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– иновирање програма, увођење нових садржаја, усклађивање са развојем наукеи струке;</w:t>
      </w:r>
    </w:p>
    <w:p w14:paraId="0E1032E0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2) </w:t>
      </w:r>
      <w:r w:rsidRPr="00315F5F">
        <w:rPr>
          <w:rFonts w:ascii="Times New Roman" w:eastAsia="PMingLiU" w:hAnsi="Times New Roman" w:cs="Times New Roman"/>
          <w:i/>
          <w:sz w:val="24"/>
          <w:szCs w:val="24"/>
          <w:lang w:val="sr-Cyrl-CS" w:eastAsia="zh-TW"/>
        </w:rPr>
        <w:t>обезбеђивање литературе и извора за учење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– припремање уџбеника и приручника, скрипата, збирки текстова, практикума и сл.;</w:t>
      </w:r>
    </w:p>
    <w:p w14:paraId="1E7C6DF4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3) </w:t>
      </w:r>
      <w:r w:rsidRPr="00315F5F">
        <w:rPr>
          <w:rFonts w:ascii="Times New Roman" w:eastAsia="PMingLiU" w:hAnsi="Times New Roman" w:cs="Times New Roman"/>
          <w:i/>
          <w:sz w:val="24"/>
          <w:szCs w:val="24"/>
          <w:lang w:val="sr-Cyrl-CS" w:eastAsia="zh-TW"/>
        </w:rPr>
        <w:t>припремање за наставу и квалитет извођења наставе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– начин излагања наставних садржаја и прилагођеност излагања предзнању студената; увођење нових облика наставног рада (интерактивне, диференциране, тимске наставе и сл.); иновирање метода наставног рада и примена метода које омогућују активирање студената и њихово укључивање у различите видове наставног рада, доприносе оспособљавању студената за самостални рад и њиховом увођењу у истраживачки рад и подстиче код њих развој критичког мишљења.</w:t>
      </w:r>
    </w:p>
    <w:p w14:paraId="2692F46C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4)</w:t>
      </w:r>
      <w:r w:rsidRPr="00315F5F">
        <w:rPr>
          <w:rFonts w:ascii="Times New Roman" w:eastAsia="PMingLiU" w:hAnsi="Times New Roman" w:cs="Times New Roman"/>
          <w:i/>
          <w:sz w:val="24"/>
          <w:szCs w:val="24"/>
          <w:lang w:val="sr-Cyrl-CS" w:eastAsia="zh-TW"/>
        </w:rPr>
        <w:t xml:space="preserve"> начин оцењивања резултата рада студената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– праћење рада студената током године, континуирано проверавање знања (колоквијуми и сл.), примена инструмената објективног оцењивања (тестови знања, есеји); анализа успеха студената на испиту и спремност на кориговање начина рада у настави;</w:t>
      </w:r>
    </w:p>
    <w:p w14:paraId="6EB79159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5) </w:t>
      </w:r>
      <w:r w:rsidRPr="00315F5F">
        <w:rPr>
          <w:rFonts w:ascii="Times New Roman" w:eastAsia="PMingLiU" w:hAnsi="Times New Roman" w:cs="Times New Roman"/>
          <w:i/>
          <w:sz w:val="24"/>
          <w:szCs w:val="24"/>
          <w:lang w:val="sr-Cyrl-CS" w:eastAsia="zh-TW"/>
        </w:rPr>
        <w:t>однос према студентима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– коректан однос према студентима и спремност да им се пружи подршка и помоћ у учењу и испуњавању наставних обавеза; консултовање студената о проблемима наставе, програму и методу рада и спремност да се узме у обзир њихово мишљење; редовно одржавање наставе и консултација и испуњавање менторских обавеза;</w:t>
      </w:r>
    </w:p>
    <w:p w14:paraId="134FF36E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6) </w:t>
      </w:r>
      <w:r w:rsidRPr="00315F5F">
        <w:rPr>
          <w:rFonts w:ascii="Times New Roman" w:eastAsia="PMingLiU" w:hAnsi="Times New Roman" w:cs="Times New Roman"/>
          <w:i/>
          <w:sz w:val="24"/>
          <w:szCs w:val="24"/>
          <w:lang w:val="sr-Cyrl-CS" w:eastAsia="zh-TW"/>
        </w:rPr>
        <w:t>менторски рад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– вођење студената у изради семинарских радова и истраживачких пројеката; менторство и помоћ студентима у изради завршних радова на основним и дипломским академским студијама – мастер; менторство у изради магистарских теза и докторских дисертација.</w:t>
      </w:r>
    </w:p>
    <w:p w14:paraId="7D3A6C3E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При оцењивању резултата педагошког рада наставника и сарадника узима се у обзир и оцена коју у поступку вредновања наставног рада дају студенти (студентска анкета).</w:t>
      </w:r>
    </w:p>
    <w:p w14:paraId="455789F3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4A53F9D5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12A42FF5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Члан 1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6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.</w:t>
      </w:r>
    </w:p>
    <w:p w14:paraId="3FD079BC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Уз предлог за покретање поступка за избор наставника и сарадника у одговарајуће звање, Кадровској комисији се доставља следећа документација:</w:t>
      </w:r>
    </w:p>
    <w:p w14:paraId="3BDAEFD3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lastRenderedPageBreak/>
        <w:t>(1) одлука већа одељења за покретање поступка за избор наставника односно сарадника у одговарајуће звање;</w:t>
      </w:r>
    </w:p>
    <w:p w14:paraId="592F32EA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(2) попуњени образац за евидентирање остварених резултата наставника односно сарадника који се предлаже за избор у звање; </w:t>
      </w:r>
    </w:p>
    <w:p w14:paraId="02C11CDE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R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(3) библиографија кандидата</w:t>
      </w:r>
    </w:p>
    <w:p w14:paraId="457D2CAA" w14:textId="77777777" w:rsidR="00315F5F" w:rsidRPr="00315F5F" w:rsidRDefault="00315F5F" w:rsidP="00315F5F">
      <w:pPr>
        <w:spacing w:after="0" w:line="240" w:lineRule="auto"/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Одељење је у обавези да за потенцијалне кандидате достави документацију прописану у ставу 1. овог члана.</w:t>
      </w:r>
    </w:p>
    <w:p w14:paraId="6E27628E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R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Образац за евидентирање остварених резултата наставника и сарадника, из тачке (2) овог члана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налази се на сајту Факултета.</w:t>
      </w:r>
    </w:p>
    <w:p w14:paraId="77FCC889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37A61FCA" w14:textId="77777777" w:rsidR="00315F5F" w:rsidRPr="00315F5F" w:rsidRDefault="00315F5F" w:rsidP="00315F5F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Члан 1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7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.</w:t>
      </w:r>
    </w:p>
    <w:p w14:paraId="7B1E5123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trike/>
          <w:sz w:val="24"/>
          <w:szCs w:val="24"/>
          <w:lang w:val="sr-Cyrl-R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ab/>
        <w:t>Ова правила ступају на снагу даном усвајања, а примењиваће се од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 24.09.2019. године. </w:t>
      </w:r>
    </w:p>
    <w:p w14:paraId="551B93DD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trike/>
          <w:sz w:val="24"/>
          <w:szCs w:val="24"/>
          <w:lang w:val="sr-Cyrl-CS" w:eastAsia="zh-TW"/>
        </w:rPr>
      </w:pPr>
    </w:p>
    <w:p w14:paraId="1E0471B5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2B8B003A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0E9471E3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6FE1C982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43FC7B55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48145680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4F47588C" w14:textId="77777777" w:rsidR="00315F5F" w:rsidRPr="00315F5F" w:rsidRDefault="00315F5F" w:rsidP="00315F5F">
      <w:pPr>
        <w:spacing w:after="0" w:line="240" w:lineRule="auto"/>
        <w:ind w:left="5280"/>
        <w:jc w:val="both"/>
        <w:rPr>
          <w:rFonts w:ascii="Times New Roman" w:eastAsia="PMingLiU" w:hAnsi="Times New Roman" w:cs="Times New Roman"/>
          <w:b/>
          <w:sz w:val="24"/>
          <w:szCs w:val="24"/>
          <w:lang w:val="sr-Cyrl-CS"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>ПРЕДСЕДНИК КОМИСИЈЕ</w:t>
      </w:r>
    </w:p>
    <w:p w14:paraId="7F1CC9D9" w14:textId="77777777" w:rsidR="00315F5F" w:rsidRPr="00315F5F" w:rsidRDefault="00315F5F" w:rsidP="00315F5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                                                               </w:t>
      </w:r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                          </w:t>
      </w:r>
      <w:r w:rsidRPr="00315F5F">
        <w:rPr>
          <w:rFonts w:ascii="Times New Roman" w:eastAsia="PMingLiU" w:hAnsi="Times New Roman" w:cs="Times New Roman"/>
          <w:sz w:val="24"/>
          <w:szCs w:val="24"/>
          <w:lang w:val="sr-Cyrl-CS" w:eastAsia="zh-TW"/>
        </w:rPr>
        <w:t xml:space="preserve">Проф. др </w:t>
      </w:r>
      <w:proofErr w:type="spellStart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Иван</w:t>
      </w:r>
      <w:proofErr w:type="spellEnd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  <w:proofErr w:type="spellStart"/>
      <w:r w:rsidRPr="00315F5F">
        <w:rPr>
          <w:rFonts w:ascii="Times New Roman" w:eastAsia="PMingLiU" w:hAnsi="Times New Roman" w:cs="Times New Roman"/>
          <w:sz w:val="24"/>
          <w:szCs w:val="24"/>
          <w:lang w:eastAsia="zh-TW"/>
        </w:rPr>
        <w:t>Ковачевић</w:t>
      </w:r>
      <w:proofErr w:type="spellEnd"/>
    </w:p>
    <w:p w14:paraId="0E78859E" w14:textId="77777777" w:rsidR="00315F5F" w:rsidRPr="00315F5F" w:rsidRDefault="00315F5F" w:rsidP="00315F5F">
      <w:pPr>
        <w:spacing w:after="0" w:line="240" w:lineRule="auto"/>
        <w:ind w:left="5280"/>
        <w:jc w:val="both"/>
        <w:rPr>
          <w:rFonts w:ascii="Times New Roman" w:eastAsia="PMingLiU" w:hAnsi="Times New Roman" w:cs="Times New Roman"/>
          <w:sz w:val="24"/>
          <w:szCs w:val="24"/>
          <w:lang w:val="sr-Cyrl-CS" w:eastAsia="zh-TW"/>
        </w:rPr>
      </w:pPr>
    </w:p>
    <w:p w14:paraId="26C3589E" w14:textId="77777777" w:rsidR="00315F5F" w:rsidRDefault="00315F5F"/>
    <w:sectPr w:rsidR="00315F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F5F"/>
    <w:rsid w:val="00315F5F"/>
    <w:rsid w:val="00793F1D"/>
    <w:rsid w:val="00E1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CEDA"/>
  <w15:chartTrackingRefBased/>
  <w15:docId w15:val="{314BF76C-E6AA-4056-84CE-050ECD8EF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0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2050</Words>
  <Characters>11686</Characters>
  <Application>Microsoft Office Word</Application>
  <DocSecurity>0</DocSecurity>
  <Lines>97</Lines>
  <Paragraphs>27</Paragraphs>
  <ScaleCrop>false</ScaleCrop>
  <Company/>
  <LinksUpToDate>false</LinksUpToDate>
  <CharactersWithSpaces>13709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2020-10-14T08:19:00Z</dcterms:created>
  <dcterms:modified xsi:type="dcterms:W3CDTF">2020-10-14T08:21:00Z</dcterms:modified>
</cp:coreProperties>
</file>